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Фрагменты урока русского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языка для обучающихся 9 класса </w:t>
      </w: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использованием </w:t>
      </w:r>
      <w:r w:rsidRPr="00D92B32">
        <w:rPr>
          <w:rFonts w:ascii="Times New Roman" w:eastAsia="Calibri" w:hAnsi="Times New Roman" w:cs="Times New Roman"/>
          <w:b/>
          <w:sz w:val="24"/>
          <w:szCs w:val="24"/>
        </w:rPr>
        <w:t xml:space="preserve">рейтинговой  накопительной системы </w:t>
      </w: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</w:t>
      </w:r>
      <w:r w:rsidR="00846C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нки образовательных результатов</w:t>
      </w:r>
      <w:bookmarkStart w:id="0" w:name="_GoBack"/>
      <w:bookmarkEnd w:id="0"/>
    </w:p>
    <w:p w:rsidR="00D92B32" w:rsidRPr="00D92B32" w:rsidRDefault="00D92B32" w:rsidP="00D92B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Словарный диктант</w:t>
      </w: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Назовите одним словом, запишите в тетрадь, поставив ударение.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(Учитель читает значения слов)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Альтруизм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Готовность жертвовать собственными интересами для благополучия других людей, бескорыстная забота об их благе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Амбиция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. Чувство самолюбия, гордости. 2. Обостренное самолюбие, самомнение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3). Индивидуализм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Стремление к выражению своей индивидуальности, личности.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Противопоставление интересов одной личности интересам общества; предпочтение личных интересов общественным.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4). Индивидуальный 1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Личный, свойственный только данному индивидууму.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Находящийся только в единоличном пользовании, отдельный.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Особенный для каждого лица, случая.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5.) Компромисс.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с кем-либо путем взаимных уступок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6). Корректный.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Вежливый, учтивый, тактичный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7). Ординарный.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Обыкновенный, ничем не примечательный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8). Пессимизм.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Мировосприятие, проникнутое унынием, безнадежностью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9). Эгоизм.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Себялюбие, состояние при котором свои личные интересы становятся выше интересов других людей.</w:t>
      </w:r>
    </w:p>
    <w:p w:rsidR="00D92B32" w:rsidRPr="00D92B32" w:rsidRDefault="00D92B32" w:rsidP="00D92B32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Проверим работу. </w:t>
      </w:r>
    </w:p>
    <w:p w:rsidR="00D92B32" w:rsidRPr="00D92B32" w:rsidRDefault="00D92B32" w:rsidP="00D92B32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возьмите карту самооценки урока (приложение 1), найдите данный вид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самооценку выполнения словарного диктанта  (Рис. 1).</w:t>
      </w:r>
    </w:p>
    <w:p w:rsidR="00D92B32" w:rsidRPr="00D92B32" w:rsidRDefault="00D92B32" w:rsidP="00D92B32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 Выполнение словарного диктанта.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1074"/>
        <w:gridCol w:w="1715"/>
      </w:tblGrid>
      <w:tr w:rsidR="00D92B32" w:rsidRPr="00D92B32" w:rsidTr="00FB719A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Мои баллы</w:t>
            </w:r>
          </w:p>
        </w:tc>
      </w:tr>
      <w:tr w:rsidR="00D92B32" w:rsidRPr="00D92B32" w:rsidTr="00FB719A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2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2B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2B32">
              <w:rPr>
                <w:rFonts w:ascii="Times New Roman" w:eastAsia="Calibri" w:hAnsi="Times New Roman" w:cs="Times New Roman"/>
                <w:sz w:val="24"/>
                <w:szCs w:val="24"/>
              </w:rPr>
              <w:t>Я допустил 5 и более ошибок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after="6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2B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допустил 3-4 </w:t>
            </w:r>
            <w:r w:rsidRPr="00D92B32">
              <w:rPr>
                <w:rFonts w:ascii="Times New Roman" w:eastAsia="Calibri" w:hAnsi="Times New Roman" w:cs="Times New Roman"/>
                <w:sz w:val="24"/>
                <w:szCs w:val="24"/>
              </w:rPr>
              <w:t>ошибки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after="60" w:line="36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D92B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2B3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92B32">
              <w:rPr>
                <w:rFonts w:ascii="Times New Roman" w:eastAsia="Calibri" w:hAnsi="Times New Roman" w:cs="Times New Roman"/>
                <w:sz w:val="24"/>
                <w:szCs w:val="24"/>
              </w:rPr>
              <w:t>Я допустил 1-2 ошибки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выполнил диктант без ошибок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tabs>
                <w:tab w:val="left" w:pos="328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2B32" w:rsidRPr="00D92B32" w:rsidRDefault="00D92B32" w:rsidP="00D92B32">
      <w:pPr>
        <w:tabs>
          <w:tab w:val="left" w:pos="3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B32" w:rsidRPr="00D92B32" w:rsidRDefault="00D92B32" w:rsidP="00D92B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Языковой анализ текста. 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читает текст.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о «если»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Если ты хочешь, чтобы понимали тебя, постарайся понимать других.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(2) Если ты хочешь, чтобы любили тебя, люби других.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(3) Если ты хочешь, чтобы терпимо относились к тебе, умей проявлять терпимость к другим.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(4) Эти «если» можно продолжать до бесконечности, прикладывая любое понятие. (5) И пока человек не научится относиться к другим, как к самому себе, не будет гармонии ни в мире его собственном, ни в Мире Всеобщего Бытия. (6) Это касается всех, и надо помнить об этом всегда и применять беспрестанно.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(7) Человеку дан язык, чтобы он мог пользоваться им для разрешения всех вопросов. (8)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нередко люди забывают об этом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желая отмолчаться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надеются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всё решится само собой. (9) Если человек не использует главное своё оружие общения – язык, то оно тупится, теряет свою силу и в итоге отнимается. (</w:t>
      </w:r>
      <w:proofErr w:type="gramStart"/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gramEnd"/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его становится так же беден, как побирающийся нищий, и в его запасе остается столько слов, сколько монет в ладони нищего, на которые он с трудом может жить. (11) Если хочешь быть богат душой, принимай мудрость, а не отвергай её.   (Безымянная О.М.)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Вставить </w:t>
      </w: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пропущенные буквы, объяснить орфограммы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Выполнить задания, чтобы проверить глубину и точность вашего восприятия исходного текста.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данный текст связан с составленными вами предложениями об альтруистах?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Какова главная мысль текста?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(Необходимо постоянное обогащение души, оно осуществимо только в Мире Всеобщего Бытия, где основное средство общения – язык, который тем богаче и выразительней, чем богаче душа человека).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какими поучениями на уроках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литературы познакомились?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(Поучения Владимира Мономаха)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Определите стиль речи.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(Публицистический стиль). В тексте мы видим характерные особенности этого стиля: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1. Функция воздействия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Лаконичность изложения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Использование публицистических клише: можно продолжать до бесконечности, надо помнить об этом всегда, язык – главное орудие общения, богат душой).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Определите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речи.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Выражение личностной позиции: 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Каково ваше отношение к проблеме, поднятой в тексте.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учителя.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 должен жить в гармонии с самим собой и, конечно, с другими людьми; помощник ему в этом – язык. Поэтому вполне закономерен вывод: «Если хочешь быть богат душой, принимай мудрость, а не отвергай её». Чтобы язык служил установлению гармонии, необходимо, чтобы речь человека была мудрой, и за ней ощущалось душевное богатство.</w:t>
      </w:r>
    </w:p>
    <w:p w:rsid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Поучения – это прежде всего литература прямого воздействия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средства выразительности использует автор и с какой целью? Работа с текстом на листах.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Вставить </w:t>
      </w: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пропущенные буквы, объяснить орфограммы.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Нахождение средств выразительности: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предложенном тексте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Безымянной О.М. представлены авторские размышления о жизни. Пояснить авторскую мысль помогают предложения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1,2,3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используется стилистический прием, состоящий из повторения одних и тех же слов для выделения ключевых фраз (_). Этот прием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автору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глубже раскрыть проблему.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показать остроту проблемы, Безымянная О.М. использует прием в 5,9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предложениях, располагая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по нарастанию. (__)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C0E0D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предложении автор использует </w:t>
      </w:r>
      <w:r w:rsidRPr="00D92B32">
        <w:rPr>
          <w:rFonts w:ascii="Times New Roman" w:eastAsia="Times New Roman" w:hAnsi="Times New Roman" w:cs="Times New Roman"/>
          <w:color w:val="0C0E0D"/>
          <w:sz w:val="24"/>
          <w:szCs w:val="24"/>
          <w:lang w:eastAsia="ru-RU"/>
        </w:rPr>
        <w:t>описательное выражение, заменяющее прямое название и содержащее в себе признаки не названного прямо предмета(_)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color w:val="0C0E0D"/>
          <w:sz w:val="24"/>
          <w:szCs w:val="24"/>
          <w:lang w:eastAsia="ru-RU"/>
        </w:rPr>
        <w:t xml:space="preserve">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карту самооценки учебной деятельности. Дайте самооценку выполнения анализа текста. Рис. 2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 Выполнение анализа текста.</w:t>
      </w:r>
    </w:p>
    <w:tbl>
      <w:tblPr>
        <w:tblpPr w:leftFromText="180" w:rightFromText="180" w:vertAnchor="text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0"/>
        <w:gridCol w:w="1186"/>
      </w:tblGrid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Выделение главной мысли текста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 баллы</w:t>
            </w: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смог выделить главную мысль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Выделил главную мысль, но не аргументировал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Выделил главную мысль и аргументировал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Нахождение средств выразительности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смог найти средств выразительности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Нашел 1 средство выразительности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Нашел 2 средства выразительности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Нашел 3 средства выразительности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6C03" w:rsidRDefault="00846C03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6C03" w:rsidRPr="00D92B32" w:rsidRDefault="00846C03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2B32" w:rsidRPr="00D92B32" w:rsidRDefault="00D92B32" w:rsidP="00D92B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Фронтальный опрос. Обобщение по теме «Сложноподчиненное предложение»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-  Какие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типы сложных предложений преобладают в тексте?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 обусловлена высокая насыщенность текста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ПП?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свидетельство усложненности и разветвленности тех мыслей, которые составляют содержательную сторону текста)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предложени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называются сложноподчиненными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Из каких частей состоит СПП?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Назовите основные виды СПП.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C0E0D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Расскажите об особенностях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СПП с придаточными определительными, изъяснительными.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Расскажите о СПП с придаточными обстоятельственными.</w:t>
      </w:r>
      <w:r w:rsidRPr="00D92B32">
        <w:rPr>
          <w:rFonts w:ascii="Times New Roman" w:eastAsia="Times New Roman" w:hAnsi="Times New Roman" w:cs="Times New Roman"/>
          <w:b/>
          <w:bCs/>
          <w:color w:val="0C0E0D"/>
          <w:sz w:val="24"/>
          <w:szCs w:val="24"/>
          <w:lang w:eastAsia="ru-RU"/>
        </w:rPr>
        <w:t xml:space="preserve"> 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Алгоритм рассуждения при определении вида придаточного предложения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92B32">
        <w:rPr>
          <w:rFonts w:ascii="Times New Roman" w:eastAsia="Times New Roman" w:hAnsi="Times New Roman" w:cs="Times New Roman"/>
          <w:b/>
          <w:bCs/>
          <w:color w:val="0C0E0D"/>
          <w:sz w:val="24"/>
          <w:szCs w:val="24"/>
          <w:lang w:eastAsia="ru-RU"/>
        </w:rPr>
        <w:t xml:space="preserve"> </w:t>
      </w:r>
    </w:p>
    <w:p w:rsidR="00D92B32" w:rsidRPr="00D92B32" w:rsidRDefault="00D92B32" w:rsidP="00D92B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грамматические основы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2B32" w:rsidRPr="00D92B32" w:rsidRDefault="00D92B32" w:rsidP="00D92B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смысловые отношения между частями сложного предложения, определить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главное и придаточное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предложения,</w:t>
      </w:r>
    </w:p>
    <w:p w:rsidR="00D92B32" w:rsidRPr="00D92B32" w:rsidRDefault="00D92B32" w:rsidP="00D92B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главного к придаточному,</w:t>
      </w:r>
    </w:p>
    <w:p w:rsidR="00D92B32" w:rsidRPr="00D92B32" w:rsidRDefault="00D92B32" w:rsidP="00D92B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союз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союзное слово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придаточном предложении,</w:t>
      </w:r>
    </w:p>
    <w:p w:rsidR="00D92B32" w:rsidRPr="00D92B32" w:rsidRDefault="00D92B32" w:rsidP="00D92B3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и союзу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определить вид придаточного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предложения.</w:t>
      </w:r>
    </w:p>
    <w:p w:rsidR="00D92B32" w:rsidRPr="00D92B32" w:rsidRDefault="00D92B32" w:rsidP="00D92B32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самооценку умения характеризовать с</w:t>
      </w:r>
      <w:r w:rsidRPr="00D9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ложноподчиненное предложение Рис. 3)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B32" w:rsidRPr="00D92B32" w:rsidRDefault="00D92B32" w:rsidP="00D92B32">
      <w:pPr>
        <w:spacing w:before="100" w:beforeAutospacing="1"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освоения</w:t>
      </w:r>
      <w:r w:rsidRPr="00D92B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темы «Сложноподчиненное предложение»</w:t>
      </w: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0"/>
        <w:gridCol w:w="900"/>
      </w:tblGrid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Нахождение типов придаточных предложений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баллы</w:t>
            </w: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2" w:rsidRPr="00D92B32" w:rsidRDefault="00D92B32" w:rsidP="00D92B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найти один типа придаточного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2" w:rsidRPr="00D92B32" w:rsidRDefault="00D92B32" w:rsidP="00D92B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могу найти два типа придаточных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могу найти все типы придаточных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типа придаточного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могу определить тип придаточного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определить тип придаточного с помощью памятки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самостоятельно определить тип придаточного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C03" w:rsidRDefault="00846C03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C03" w:rsidRDefault="00846C03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C03" w:rsidRPr="00D92B32" w:rsidRDefault="00846C03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32" w:rsidRPr="00D92B32" w:rsidRDefault="00D92B32" w:rsidP="00D92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B32" w:rsidRPr="00D92B32" w:rsidRDefault="00D92B32" w:rsidP="00D92B32">
      <w:pPr>
        <w:numPr>
          <w:ilvl w:val="0"/>
          <w:numId w:val="1"/>
        </w:numPr>
        <w:spacing w:before="100" w:beforeAutospacing="1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(карточки по вариантам).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Выполните синтаксический разбор предложения по вариантам. Задания разноуровневые.1 вариант – без ошибок - 4 (хорошо); 2 вариант – без ошибок - 5 (отлично).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ru-RU"/>
        </w:rPr>
        <w:t>Равнодушие - еще ягодки, которые вызревают на цветах эгоизма.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ru-RU"/>
        </w:rPr>
        <w:t>У равнодушного человека нет близкого, родного, дорогого существа,</w:t>
      </w:r>
      <w:r w:rsidRPr="00D92B32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ru-RU"/>
        </w:rPr>
        <w:br/>
        <w:t xml:space="preserve"> кото</w:t>
      </w:r>
      <w:r w:rsidRPr="00D92B32">
        <w:rPr>
          <w:rFonts w:ascii="Times New Roman" w:eastAsia="Times New Roman" w:hAnsi="Times New Roman" w:cs="Times New Roman"/>
          <w:bCs/>
          <w:iCs/>
          <w:kern w:val="24"/>
          <w:sz w:val="24"/>
          <w:szCs w:val="24"/>
          <w:lang w:eastAsia="ru-RU"/>
        </w:rPr>
        <w:softHyphen/>
        <w:t>рому бы он отдавал своё сердце.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-Взаимопроверка с опорой на текст слайда.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 работали с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предложениями, это краткие выразительные изречения соде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ржащие обобщающее умозаключение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принадлежат Сухомлинскому.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-Как называются такие </w:t>
      </w:r>
      <w:r w:rsidRPr="00D92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изречения?  (афоризмы)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самооценку выполнения синтаксического разбора. Рис. 4.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B3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4 Карта самооценки выполнения синтаксического разбора.</w:t>
      </w:r>
    </w:p>
    <w:tbl>
      <w:tblPr>
        <w:tblpPr w:leftFromText="180" w:rightFromText="180" w:vertAnchor="text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900"/>
        <w:gridCol w:w="900"/>
      </w:tblGrid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Синтаксический разбор предложения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баллы</w:t>
            </w: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2" w:rsidRPr="00D92B32" w:rsidRDefault="00D92B32" w:rsidP="00D92B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выделить грамматическую основу предложения и найти границы главного и придаточного предложения.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2" w:rsidRPr="00D92B32" w:rsidRDefault="00D92B32" w:rsidP="00D92B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дать характеристики простых предложений в составе сложного; определить тип придаточного.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2" w:rsidRPr="00D92B32" w:rsidRDefault="00D92B32" w:rsidP="00D92B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дать характеристику главных и второстепенных членов предложения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могу составить схему предложения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B32" w:rsidRPr="00D92B32" w:rsidTr="00FB719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B32" w:rsidRPr="00D92B32" w:rsidRDefault="00D92B32" w:rsidP="00D92B3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C03" w:rsidRDefault="00846C03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32" w:rsidRPr="00846C03" w:rsidRDefault="00D92B32" w:rsidP="00D92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D92B32" w:rsidRPr="00D92B32" w:rsidRDefault="00D92B32" w:rsidP="00D92B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Разумовская М.М., Львова С.И., Капинос В.И., Львов В.В. Русский язык, 9 класс. – М., Дрофа, 2014, с. 269.</w:t>
      </w:r>
    </w:p>
    <w:p w:rsidR="00D92B32" w:rsidRPr="00D92B32" w:rsidRDefault="00D92B32" w:rsidP="00D92B32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бойся книги, школьник. Уроки петербургских словесников. – СПб, САГА, 2004, с.320</w:t>
      </w: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2B32" w:rsidRPr="00D92B32" w:rsidRDefault="00D92B32" w:rsidP="00D92B3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5424" w:rsidRDefault="00D92B32" w:rsidP="00D92B32">
      <w:r w:rsidRPr="00D92B3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sectPr w:rsidR="00AD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49B"/>
    <w:multiLevelType w:val="hybridMultilevel"/>
    <w:tmpl w:val="B29CBD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0A1E"/>
    <w:multiLevelType w:val="hybridMultilevel"/>
    <w:tmpl w:val="D4BE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45710"/>
    <w:multiLevelType w:val="hybridMultilevel"/>
    <w:tmpl w:val="CDC20730"/>
    <w:lvl w:ilvl="0" w:tplc="A838000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47D65B9"/>
    <w:multiLevelType w:val="hybridMultilevel"/>
    <w:tmpl w:val="D4BE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9C"/>
    <w:rsid w:val="0013339C"/>
    <w:rsid w:val="00846C03"/>
    <w:rsid w:val="00AD5424"/>
    <w:rsid w:val="00D9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0F1B-561F-4AC5-AB74-039816C0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1213</Words>
  <Characters>6919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masha3k@mail.ru</cp:lastModifiedBy>
  <cp:revision>3</cp:revision>
  <dcterms:created xsi:type="dcterms:W3CDTF">2017-10-26T20:32:00Z</dcterms:created>
  <dcterms:modified xsi:type="dcterms:W3CDTF">2017-10-27T09:08:00Z</dcterms:modified>
</cp:coreProperties>
</file>